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:rsidR="0081277B" w:rsidRDefault="0081277B" w:rsidP="00730D3E">
      <w:pPr>
        <w:pStyle w:val="4"/>
        <w:tabs>
          <w:tab w:val="left" w:pos="10490"/>
        </w:tabs>
        <w:ind w:right="-144"/>
        <w:rPr>
          <w:sz w:val="24"/>
          <w:szCs w:val="24"/>
        </w:rPr>
      </w:pPr>
    </w:p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</w:t>
      </w:r>
      <w:proofErr w:type="gramStart"/>
      <w:r w:rsidRPr="00E96A3D">
        <w:rPr>
          <w:rFonts w:eastAsia="Calibri"/>
          <w:b/>
          <w:bCs/>
          <w:color w:val="000000"/>
          <w:sz w:val="28"/>
          <w:szCs w:val="28"/>
        </w:rPr>
        <w:t>ии ау</w:t>
      </w:r>
      <w:proofErr w:type="gramEnd"/>
      <w:r w:rsidRPr="00E96A3D">
        <w:rPr>
          <w:rFonts w:eastAsia="Calibri"/>
          <w:b/>
          <w:bCs/>
          <w:color w:val="000000"/>
          <w:sz w:val="28"/>
          <w:szCs w:val="28"/>
        </w:rPr>
        <w:t>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аренды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15535" w:rsidRPr="00730D3E">
        <w:rPr>
          <w:rFonts w:ascii="Times New Roman" w:hAnsi="Times New Roman"/>
          <w:sz w:val="24"/>
          <w:szCs w:val="24"/>
        </w:rPr>
        <w:t>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Pr="00730D3E">
        <w:rPr>
          <w:rFonts w:ascii="Times New Roman" w:hAnsi="Times New Roman"/>
          <w:sz w:val="24"/>
          <w:szCs w:val="24"/>
        </w:rPr>
        <w:t xml:space="preserve"> аренды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8A6FE9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</w:t>
      </w:r>
      <w:proofErr w:type="gramEnd"/>
      <w:r w:rsidRPr="00DC4546">
        <w:rPr>
          <w:rFonts w:ascii="Times New Roman" w:hAnsi="Times New Roman"/>
          <w:sz w:val="24"/>
          <w:szCs w:val="24"/>
        </w:rPr>
        <w:t xml:space="preserve"> со ст.ст. 39.11., 39.12.,39.13. 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631AE9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>
        <w:rPr>
          <w:b/>
          <w:bCs/>
          <w:sz w:val="24"/>
        </w:rPr>
        <w:t>03 апреля</w:t>
      </w:r>
      <w:r w:rsidR="008C11A4">
        <w:rPr>
          <w:b/>
          <w:bCs/>
          <w:sz w:val="24"/>
        </w:rPr>
        <w:t xml:space="preserve"> 2026</w:t>
      </w:r>
      <w:r w:rsidR="00CB49A8" w:rsidRPr="00C35434">
        <w:rPr>
          <w:b/>
          <w:bCs/>
          <w:sz w:val="24"/>
        </w:rPr>
        <w:t xml:space="preserve"> года в </w:t>
      </w:r>
      <w:r>
        <w:rPr>
          <w:b/>
          <w:bCs/>
          <w:sz w:val="24"/>
        </w:rPr>
        <w:t>09</w:t>
      </w:r>
      <w:r w:rsidR="00CB49A8" w:rsidRPr="00C35434">
        <w:rPr>
          <w:b/>
          <w:bCs/>
          <w:sz w:val="24"/>
        </w:rPr>
        <w:t>.00 часов</w:t>
      </w:r>
      <w:r w:rsidR="00CB49A8" w:rsidRPr="00730D3E">
        <w:rPr>
          <w:b/>
          <w:bCs/>
          <w:sz w:val="24"/>
        </w:rPr>
        <w:t xml:space="preserve"> по московскому времени </w:t>
      </w:r>
      <w:r w:rsidR="00CB49A8" w:rsidRPr="00730D3E">
        <w:rPr>
          <w:b/>
          <w:spacing w:val="-6"/>
          <w:sz w:val="24"/>
        </w:rPr>
        <w:t xml:space="preserve">на электронной торговой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5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>о размере арендной платы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аренды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7D5C94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5813C5">
      <w:pPr>
        <w:autoSpaceDE w:val="0"/>
        <w:autoSpaceDN w:val="0"/>
        <w:adjustRightInd w:val="0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767579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</w:t>
      </w:r>
      <w:proofErr w:type="spellStart"/>
      <w:r w:rsidR="00B43C03">
        <w:rPr>
          <w:rFonts w:eastAsia="Calibri"/>
          <w:color w:val="000000"/>
        </w:rPr>
        <w:t>Дальнеконстантиновский</w:t>
      </w:r>
      <w:proofErr w:type="spellEnd"/>
      <w:r w:rsidR="00AC0A94">
        <w:rPr>
          <w:rFonts w:eastAsia="Calibri"/>
          <w:color w:val="000000"/>
        </w:rPr>
        <w:t>,</w:t>
      </w:r>
      <w:r w:rsidR="00396691" w:rsidRPr="00396691">
        <w:rPr>
          <w:rFonts w:eastAsia="Calibri"/>
          <w:color w:val="000000"/>
        </w:rPr>
        <w:t xml:space="preserve"> </w:t>
      </w:r>
      <w:r w:rsidR="006F5880">
        <w:rPr>
          <w:rFonts w:eastAsia="Calibri"/>
          <w:color w:val="000000"/>
        </w:rPr>
        <w:t xml:space="preserve">село </w:t>
      </w:r>
      <w:proofErr w:type="spellStart"/>
      <w:r w:rsidR="006F5880">
        <w:rPr>
          <w:rFonts w:eastAsia="Calibri"/>
          <w:color w:val="000000"/>
        </w:rPr>
        <w:t>Гремячая</w:t>
      </w:r>
      <w:proofErr w:type="spellEnd"/>
      <w:r w:rsidR="006F5880">
        <w:rPr>
          <w:rFonts w:eastAsia="Calibri"/>
          <w:color w:val="000000"/>
        </w:rPr>
        <w:t xml:space="preserve"> Поляна, улица Сергея Есенина, земельный участок 23</w:t>
      </w:r>
    </w:p>
    <w:p w:rsidR="007D5C94" w:rsidRPr="00995D38" w:rsidRDefault="007D5C94" w:rsidP="007D5C94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6F5880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7D5C94">
      <w:pPr>
        <w:pStyle w:val="Default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6F5880">
        <w:rPr>
          <w:rFonts w:ascii="Times New Roman" w:hAnsi="Times New Roman" w:cs="Times New Roman"/>
        </w:rPr>
        <w:t>5</w:t>
      </w:r>
      <w:r w:rsidR="00B43C03">
        <w:rPr>
          <w:rFonts w:ascii="Times New Roman" w:hAnsi="Times New Roman" w:cs="Times New Roman"/>
        </w:rPr>
        <w:t>000</w:t>
      </w:r>
      <w:r w:rsidR="006F5880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AC48A0">
        <w:rPr>
          <w:rFonts w:ascii="Times New Roman" w:hAnsi="Times New Roman" w:cs="Times New Roman"/>
        </w:rPr>
        <w:t>4580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7D5C94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AC48A0">
        <w:rPr>
          <w:rFonts w:ascii="Times New Roman" w:hAnsi="Times New Roman"/>
          <w:sz w:val="24"/>
          <w:szCs w:val="24"/>
        </w:rPr>
        <w:t xml:space="preserve"> 1591</w:t>
      </w:r>
      <w:r w:rsidR="00763E8A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3E199D">
      <w:pPr>
        <w:autoSpaceDE w:val="0"/>
        <w:autoSpaceDN w:val="0"/>
        <w:adjustRightInd w:val="0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C48A0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– </w:t>
      </w:r>
      <w:r w:rsidR="00AC48A0">
        <w:rPr>
          <w:rFonts w:eastAsia="Calibri"/>
          <w:color w:val="000000"/>
        </w:rPr>
        <w:t>для индивидуального жилищного стр</w:t>
      </w:r>
      <w:r w:rsidR="00DA5E94">
        <w:rPr>
          <w:rFonts w:eastAsia="Calibri"/>
          <w:color w:val="000000"/>
        </w:rPr>
        <w:t>о</w:t>
      </w:r>
      <w:r w:rsidR="00AC48A0">
        <w:rPr>
          <w:rFonts w:eastAsia="Calibri"/>
          <w:color w:val="000000"/>
        </w:rPr>
        <w:t>ительства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17694C" w:rsidRPr="0017694C" w:rsidRDefault="0017694C" w:rsidP="003E199D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Ж</w:t>
      </w:r>
      <w:proofErr w:type="gramStart"/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1</w:t>
      </w:r>
      <w:proofErr w:type="gramEnd"/>
      <w:r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- </w:t>
      </w:r>
      <w:r w:rsidRPr="0017694C">
        <w:rPr>
          <w:bCs/>
          <w:noProof/>
        </w:rPr>
        <w:t xml:space="preserve">Зона </w:t>
      </w:r>
      <w:r w:rsidRPr="0017694C">
        <w:rPr>
          <w:bCs/>
        </w:rPr>
        <w:t>и</w:t>
      </w:r>
      <w:r w:rsidRPr="0017694C">
        <w:rPr>
          <w:bCs/>
          <w:noProof/>
        </w:rPr>
        <w:t xml:space="preserve">ндивидуальной </w:t>
      </w:r>
      <w:r w:rsidRPr="0017694C">
        <w:rPr>
          <w:bCs/>
        </w:rPr>
        <w:t>ж</w:t>
      </w:r>
      <w:r w:rsidRPr="0017694C">
        <w:rPr>
          <w:bCs/>
          <w:noProof/>
        </w:rPr>
        <w:t xml:space="preserve">илой </w:t>
      </w:r>
      <w:r w:rsidRPr="0017694C">
        <w:rPr>
          <w:bCs/>
        </w:rPr>
        <w:t>з</w:t>
      </w:r>
      <w:r w:rsidRPr="0017694C">
        <w:rPr>
          <w:bCs/>
          <w:noProof/>
        </w:rPr>
        <w:t>астройки постоянного проживания</w:t>
      </w:r>
    </w:p>
    <w:p w:rsidR="007D5C94" w:rsidRPr="00C87E51" w:rsidRDefault="007D5C94" w:rsidP="007D5C94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Style w:val="af"/>
          <w:rFonts w:ascii="Times New Roman" w:hAnsi="Times New Roman"/>
          <w:sz w:val="24"/>
          <w:szCs w:val="24"/>
        </w:rPr>
        <w:t>Вид приобретаемого права:</w:t>
      </w:r>
      <w:r w:rsidRPr="00C87E51">
        <w:rPr>
          <w:rFonts w:ascii="Times New Roman" w:hAnsi="Times New Roman"/>
          <w:sz w:val="24"/>
          <w:szCs w:val="24"/>
        </w:rPr>
        <w:t xml:space="preserve"> аренда сроком на </w:t>
      </w:r>
      <w:r w:rsidR="00AC48A0">
        <w:rPr>
          <w:rFonts w:ascii="Times New Roman" w:hAnsi="Times New Roman"/>
          <w:sz w:val="24"/>
          <w:szCs w:val="24"/>
        </w:rPr>
        <w:t>20</w:t>
      </w:r>
      <w:r w:rsidR="00763E8A">
        <w:rPr>
          <w:rFonts w:ascii="Times New Roman" w:hAnsi="Times New Roman"/>
          <w:sz w:val="24"/>
          <w:szCs w:val="24"/>
        </w:rPr>
        <w:t xml:space="preserve"> (два</w:t>
      </w:r>
      <w:r w:rsidR="00B253DA">
        <w:rPr>
          <w:rFonts w:ascii="Times New Roman" w:hAnsi="Times New Roman"/>
          <w:sz w:val="24"/>
          <w:szCs w:val="24"/>
        </w:rPr>
        <w:t>дцать</w:t>
      </w:r>
      <w:r w:rsidR="00763E8A">
        <w:rPr>
          <w:rFonts w:ascii="Times New Roman" w:hAnsi="Times New Roman"/>
          <w:sz w:val="24"/>
          <w:szCs w:val="24"/>
        </w:rPr>
        <w:t xml:space="preserve">) </w:t>
      </w:r>
      <w:r w:rsidR="00B253DA">
        <w:rPr>
          <w:rFonts w:ascii="Times New Roman" w:hAnsi="Times New Roman"/>
          <w:sz w:val="24"/>
          <w:szCs w:val="24"/>
        </w:rPr>
        <w:t>лет</w:t>
      </w:r>
      <w:r w:rsidRPr="00C87E51">
        <w:rPr>
          <w:rFonts w:ascii="Times New Roman" w:hAnsi="Times New Roman"/>
          <w:sz w:val="24"/>
          <w:szCs w:val="24"/>
        </w:rPr>
        <w:t xml:space="preserve">; </w:t>
      </w:r>
    </w:p>
    <w:p w:rsidR="007D5C94" w:rsidRPr="00C87E51" w:rsidRDefault="007D5C94" w:rsidP="007D5C94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7D5C94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муниципального округа Нижегородской области от </w:t>
      </w:r>
      <w:r w:rsidR="0017694C" w:rsidRPr="0017694C">
        <w:t>16.03</w:t>
      </w:r>
      <w:r w:rsidR="00B13EAA" w:rsidRPr="0017694C">
        <w:t>.2026</w:t>
      </w:r>
      <w:r w:rsidR="0060516C" w:rsidRPr="0017694C">
        <w:t xml:space="preserve"> №</w:t>
      </w:r>
      <w:r w:rsidR="00B13EAA" w:rsidRPr="0017694C">
        <w:t xml:space="preserve"> 411</w:t>
      </w:r>
      <w:r w:rsidR="0060516C" w:rsidRPr="0017694C">
        <w:t xml:space="preserve"> «О проведен</w:t>
      </w:r>
      <w:proofErr w:type="gramStart"/>
      <w:r w:rsidR="0060516C" w:rsidRPr="0017694C">
        <w:t>ии ау</w:t>
      </w:r>
      <w:proofErr w:type="gramEnd"/>
      <w:r w:rsidR="0060516C" w:rsidRPr="0017694C">
        <w:t>кциона в электронной форме</w:t>
      </w:r>
      <w:r w:rsidRPr="0017694C">
        <w:t xml:space="preserve">, открытого по составу участников и форме подачи предложений по цене </w:t>
      </w:r>
      <w:r w:rsidR="0060516C" w:rsidRPr="0017694C">
        <w:t>на право заключения договор</w:t>
      </w:r>
      <w:r w:rsidR="0017694C" w:rsidRPr="0017694C">
        <w:t>а</w:t>
      </w:r>
      <w:r w:rsidR="0060516C" w:rsidRPr="0017694C">
        <w:t xml:space="preserve"> аренды земельн</w:t>
      </w:r>
      <w:r w:rsidR="0017694C" w:rsidRPr="0017694C">
        <w:t>ого</w:t>
      </w:r>
      <w:r w:rsidR="0060516C" w:rsidRPr="0017694C">
        <w:t xml:space="preserve"> участк</w:t>
      </w:r>
      <w:r w:rsidR="0017694C" w:rsidRPr="0017694C">
        <w:t>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7D5C94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396691" w:rsidRPr="00396691">
        <w:rPr>
          <w:rStyle w:val="af"/>
          <w:rFonts w:ascii="Times New Roman" w:hAnsi="Times New Roman"/>
          <w:sz w:val="24"/>
          <w:szCs w:val="24"/>
        </w:rPr>
        <w:t xml:space="preserve"> </w:t>
      </w:r>
      <w:r>
        <w:rPr>
          <w:rStyle w:val="af"/>
          <w:rFonts w:ascii="Times New Roman" w:hAnsi="Times New Roman"/>
          <w:sz w:val="24"/>
          <w:szCs w:val="24"/>
        </w:rPr>
        <w:t>ежегодной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арендной платы земельного участка</w:t>
      </w:r>
      <w:r w:rsidR="00396691" w:rsidRPr="0039669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96691" w:rsidRPr="0039669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587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тридцать 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шесть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 xml:space="preserve"> тысяч 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пятьсот восемьдесят семь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>ии отчета независимого оценщик</w:t>
      </w:r>
      <w:proofErr w:type="gramStart"/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ООО</w:t>
      </w:r>
      <w:proofErr w:type="gramEnd"/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«ГОРОЦЕНКА» от 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20.02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70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7D5C94">
      <w:pPr>
        <w:pStyle w:val="23"/>
        <w:shd w:val="clear" w:color="auto" w:fill="auto"/>
        <w:spacing w:before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396691" w:rsidRPr="00396691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36 587</w:t>
      </w:r>
      <w:r w:rsidR="00B253DA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>тридцать шесть тысяч пятьсот восемьдесят семь</w:t>
      </w:r>
      <w:r w:rsidR="00B253DA" w:rsidRPr="008D2A0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253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 00 копеек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B253DA">
        <w:rPr>
          <w:rStyle w:val="af"/>
          <w:rFonts w:ascii="Times New Roman" w:hAnsi="Times New Roman"/>
          <w:b w:val="0"/>
          <w:sz w:val="24"/>
          <w:szCs w:val="24"/>
        </w:rPr>
        <w:t>1097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Pr="00AC0A94">
        <w:rPr>
          <w:rFonts w:ascii="Times New Roman" w:hAnsi="Times New Roman"/>
          <w:sz w:val="24"/>
          <w:szCs w:val="24"/>
        </w:rPr>
        <w:t>(</w:t>
      </w:r>
      <w:r w:rsidR="00B253DA">
        <w:rPr>
          <w:rFonts w:ascii="Times New Roman" w:hAnsi="Times New Roman"/>
          <w:sz w:val="24"/>
          <w:szCs w:val="24"/>
        </w:rPr>
        <w:t>одна тысяча девяносто семь</w:t>
      </w:r>
      <w:r w:rsidRPr="00AC0A94">
        <w:rPr>
          <w:rFonts w:ascii="Times New Roman" w:hAnsi="Times New Roman"/>
          <w:sz w:val="24"/>
          <w:szCs w:val="24"/>
        </w:rPr>
        <w:t xml:space="preserve">) рублей </w:t>
      </w:r>
      <w:r w:rsidR="00B253DA">
        <w:rPr>
          <w:rFonts w:ascii="Times New Roman" w:hAnsi="Times New Roman"/>
          <w:sz w:val="24"/>
          <w:szCs w:val="24"/>
        </w:rPr>
        <w:t>61</w:t>
      </w:r>
      <w:r w:rsidRPr="00AC0A94">
        <w:rPr>
          <w:rFonts w:ascii="Times New Roman" w:hAnsi="Times New Roman"/>
          <w:sz w:val="24"/>
          <w:szCs w:val="24"/>
        </w:rPr>
        <w:t xml:space="preserve"> копе</w:t>
      </w:r>
      <w:r w:rsidR="00B253DA">
        <w:rPr>
          <w:rFonts w:ascii="Times New Roman" w:hAnsi="Times New Roman"/>
          <w:sz w:val="24"/>
          <w:szCs w:val="24"/>
        </w:rPr>
        <w:t>йка</w:t>
      </w:r>
      <w:r w:rsidRPr="00AC0A94">
        <w:rPr>
          <w:rFonts w:ascii="Times New Roman" w:hAnsi="Times New Roman"/>
          <w:sz w:val="24"/>
          <w:szCs w:val="24"/>
        </w:rPr>
        <w:t>.</w:t>
      </w:r>
    </w:p>
    <w:p w:rsidR="007D5C94" w:rsidRPr="00EC2C4E" w:rsidRDefault="007D5C94" w:rsidP="007D5C94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0516C">
      <w:pPr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F27145" w:rsidRPr="00F27145">
        <w:rPr>
          <w:bCs/>
        </w:rPr>
        <w:t>отсутствуют</w:t>
      </w:r>
      <w:r w:rsidR="00F27145">
        <w:rPr>
          <w:bCs/>
        </w:rPr>
        <w:t>.</w:t>
      </w:r>
    </w:p>
    <w:p w:rsidR="00BD08E1" w:rsidRPr="00DF1ED2" w:rsidRDefault="00BD08E1" w:rsidP="0060516C">
      <w:pPr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9D6284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7A1C71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B52CF2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B52CF2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7D5C94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B52CF2" w:rsidRPr="00CD3AFC" w:rsidRDefault="00B52CF2" w:rsidP="00B52CF2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B52CF2">
      <w:pPr>
        <w:pStyle w:val="a3"/>
        <w:tabs>
          <w:tab w:val="left" w:pos="126"/>
        </w:tabs>
        <w:ind w:right="153"/>
        <w:jc w:val="both"/>
        <w:rPr>
          <w:spacing w:val="2"/>
          <w:sz w:val="22"/>
          <w:szCs w:val="22"/>
          <w:shd w:val="clear" w:color="auto" w:fill="FFFFFF"/>
        </w:rPr>
      </w:pPr>
      <w:r>
        <w:rPr>
          <w:spacing w:val="2"/>
          <w:sz w:val="22"/>
          <w:szCs w:val="22"/>
          <w:shd w:val="clear" w:color="auto" w:fill="FFFFFF"/>
        </w:rPr>
        <w:t xml:space="preserve">  </w:t>
      </w:r>
      <w:r w:rsidRPr="00CD3AFC">
        <w:rPr>
          <w:spacing w:val="2"/>
          <w:sz w:val="22"/>
          <w:szCs w:val="22"/>
          <w:shd w:val="clear" w:color="auto" w:fill="FFFFFF"/>
        </w:rPr>
        <w:t>2) 3м со стороны проезда, а так же от границ участков смежных землепользователей.</w:t>
      </w:r>
    </w:p>
    <w:p w:rsidR="007D5C94" w:rsidRDefault="007D5C94" w:rsidP="00B52CF2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CD3AFC" w:rsidRDefault="00F035B5" w:rsidP="00B52CF2">
      <w:pPr>
        <w:pStyle w:val="a3"/>
        <w:tabs>
          <w:tab w:val="left" w:pos="126"/>
        </w:tabs>
        <w:ind w:left="23" w:right="153" w:firstLine="126"/>
        <w:jc w:val="both"/>
        <w:rPr>
          <w:rStyle w:val="78"/>
          <w:sz w:val="22"/>
          <w:szCs w:val="22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8A6FE9">
        <w:rPr>
          <w:rStyle w:val="3TimesNewRoman"/>
          <w:b w:val="0"/>
          <w:i w:val="0"/>
          <w:sz w:val="24"/>
          <w:szCs w:val="24"/>
        </w:rPr>
        <w:t xml:space="preserve"> </w:t>
      </w:r>
      <w:r w:rsidR="00B86476">
        <w:rPr>
          <w:iCs/>
        </w:rPr>
        <w:t>-</w:t>
      </w:r>
      <w:r w:rsidR="00396691" w:rsidRPr="00396691">
        <w:rPr>
          <w:iCs/>
        </w:rPr>
        <w:t xml:space="preserve">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 xml:space="preserve">парковки перед объектами обслуживающих и коммерческих видов использования 2-5 </w:t>
      </w:r>
      <w:proofErr w:type="spellStart"/>
      <w:r w:rsidRPr="00CD3AFC">
        <w:rPr>
          <w:sz w:val="22"/>
          <w:szCs w:val="22"/>
        </w:rPr>
        <w:t>машиноместа</w:t>
      </w:r>
      <w:proofErr w:type="spellEnd"/>
      <w:r w:rsidRPr="00CD3AFC">
        <w:rPr>
          <w:sz w:val="22"/>
          <w:szCs w:val="22"/>
        </w:rPr>
        <w:t xml:space="preserve">, гостевые парковки из расчета 1 </w:t>
      </w:r>
      <w:proofErr w:type="spellStart"/>
      <w:r w:rsidRPr="00CD3AFC">
        <w:rPr>
          <w:sz w:val="22"/>
          <w:szCs w:val="22"/>
        </w:rPr>
        <w:t>машиноместо</w:t>
      </w:r>
      <w:proofErr w:type="spellEnd"/>
      <w:r w:rsidRPr="00CD3AFC">
        <w:rPr>
          <w:sz w:val="22"/>
          <w:szCs w:val="22"/>
        </w:rPr>
        <w:t xml:space="preserve"> на 1 участок;</w:t>
      </w:r>
    </w:p>
    <w:p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Pr="00CD3AFC">
        <w:rPr>
          <w:sz w:val="22"/>
          <w:szCs w:val="22"/>
        </w:rPr>
        <w:t xml:space="preserve"> м. — в случае возведения глухого ограждения и 2 м — в случае возведения, так называемых, прозрачных конструкций забора;</w:t>
      </w:r>
    </w:p>
    <w:p w:rsidR="00B52CF2" w:rsidRPr="00CD3AFC" w:rsidRDefault="00B52CF2" w:rsidP="00B52CF2">
      <w:pPr>
        <w:pStyle w:val="a3"/>
        <w:ind w:left="23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B52CF2">
      <w:pPr>
        <w:pStyle w:val="a3"/>
        <w:tabs>
          <w:tab w:val="left" w:pos="126"/>
        </w:tabs>
        <w:ind w:left="23" w:right="153" w:firstLine="126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70612B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РФ-52-4-18-2-03-2026-0018-0</w:t>
      </w:r>
      <w:r w:rsidR="0070612B">
        <w:rPr>
          <w:rFonts w:eastAsia="Calibri"/>
          <w:u w:val="single"/>
        </w:rPr>
        <w:t>.</w:t>
      </w:r>
      <w:r w:rsidR="0070612B">
        <w:rPr>
          <w:rFonts w:ascii="TimesNewRomanPSMT" w:eastAsia="Calibri" w:hAnsi="TimesNewRomanPSMT" w:cs="TimesNewRomanPSMT"/>
        </w:rPr>
        <w:t xml:space="preserve"> </w:t>
      </w:r>
    </w:p>
    <w:p w:rsidR="0070612B" w:rsidRPr="0070612B" w:rsidRDefault="0070612B" w:rsidP="0070612B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proofErr w:type="gramStart"/>
      <w:r w:rsidRPr="0070612B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>
        <w:rPr>
          <w:rFonts w:eastAsia="Calibri"/>
          <w:b/>
          <w:bCs/>
        </w:rPr>
        <w:t xml:space="preserve"> </w:t>
      </w:r>
      <w:r w:rsidRPr="0070612B">
        <w:rPr>
          <w:rFonts w:eastAsia="Calibri"/>
          <w:b/>
          <w:bCs/>
        </w:rPr>
        <w:t>строительства к сетям инженерно-технического обеспечения (за исключением сетей электроснабжения),</w:t>
      </w:r>
      <w:r>
        <w:rPr>
          <w:rFonts w:eastAsia="Calibri"/>
          <w:b/>
          <w:bCs/>
        </w:rPr>
        <w:t xml:space="preserve"> </w:t>
      </w:r>
      <w:r w:rsidRPr="0070612B">
        <w:rPr>
          <w:rFonts w:eastAsia="Calibri"/>
          <w:b/>
          <w:bCs/>
        </w:rPr>
        <w:t>определяемая с учетом программ комплексного развития систем коммунальной инфраструктуры</w:t>
      </w:r>
      <w:r>
        <w:rPr>
          <w:rFonts w:eastAsia="Calibri"/>
          <w:b/>
          <w:bCs/>
        </w:rPr>
        <w:t xml:space="preserve"> </w:t>
      </w:r>
      <w:r w:rsidRPr="0070612B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>
        <w:rPr>
          <w:rFonts w:eastAsia="Calibri"/>
          <w:b/>
          <w:bCs/>
        </w:rPr>
        <w:t xml:space="preserve"> </w:t>
      </w:r>
      <w:r w:rsidRPr="0070612B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  <w:r>
        <w:rPr>
          <w:rFonts w:eastAsia="Calibri"/>
          <w:b/>
          <w:bCs/>
        </w:rPr>
        <w:t xml:space="preserve"> </w:t>
      </w:r>
      <w:r w:rsidRPr="0070612B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  <w:proofErr w:type="gramEnd"/>
    </w:p>
    <w:p w:rsidR="0070612B" w:rsidRPr="0070612B" w:rsidRDefault="0070612B" w:rsidP="0070612B">
      <w:pPr>
        <w:autoSpaceDE w:val="0"/>
        <w:autoSpaceDN w:val="0"/>
        <w:adjustRightInd w:val="0"/>
        <w:jc w:val="both"/>
        <w:rPr>
          <w:rFonts w:eastAsia="Calibri"/>
        </w:rPr>
      </w:pPr>
      <w:r w:rsidRPr="0070612B">
        <w:rPr>
          <w:rFonts w:eastAsia="Calibri"/>
        </w:rPr>
        <w:t xml:space="preserve">1. </w:t>
      </w:r>
      <w:proofErr w:type="gramStart"/>
      <w:r w:rsidRPr="0070612B">
        <w:rPr>
          <w:rFonts w:eastAsia="Calibri"/>
        </w:rPr>
        <w:t xml:space="preserve">По данным представленными </w:t>
      </w:r>
      <w:proofErr w:type="spellStart"/>
      <w:r w:rsidRPr="0070612B">
        <w:rPr>
          <w:rFonts w:eastAsia="Calibri"/>
        </w:rPr>
        <w:t>Суроватихинским</w:t>
      </w:r>
      <w:proofErr w:type="spellEnd"/>
      <w:r w:rsidRPr="0070612B">
        <w:rPr>
          <w:rFonts w:eastAsia="Calibri"/>
        </w:rPr>
        <w:t xml:space="preserve"> муниципальным унитарным многоотраслевым</w:t>
      </w:r>
      <w:proofErr w:type="gramEnd"/>
    </w:p>
    <w:p w:rsidR="0070612B" w:rsidRPr="0070612B" w:rsidRDefault="0070612B" w:rsidP="0070612B">
      <w:pPr>
        <w:autoSpaceDE w:val="0"/>
        <w:autoSpaceDN w:val="0"/>
        <w:adjustRightInd w:val="0"/>
        <w:jc w:val="both"/>
        <w:rPr>
          <w:rFonts w:eastAsia="Calibri"/>
        </w:rPr>
      </w:pPr>
      <w:r w:rsidRPr="0070612B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>
        <w:rPr>
          <w:rFonts w:eastAsia="Calibri"/>
        </w:rPr>
        <w:t xml:space="preserve"> </w:t>
      </w:r>
      <w:r w:rsidRPr="0070612B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>
        <w:rPr>
          <w:rFonts w:eastAsia="Calibri"/>
        </w:rPr>
        <w:t xml:space="preserve"> </w:t>
      </w:r>
      <w:r w:rsidRPr="0070612B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>
        <w:rPr>
          <w:rFonts w:eastAsia="Calibri"/>
        </w:rPr>
        <w:t xml:space="preserve"> </w:t>
      </w:r>
      <w:r w:rsidRPr="0070612B">
        <w:rPr>
          <w:rFonts w:eastAsia="Calibri"/>
        </w:rPr>
        <w:t>участке с кадастровым номером – 52:32:0500029:4580 отсутствует (письма прилагается).</w:t>
      </w:r>
    </w:p>
    <w:p w:rsidR="0070612B" w:rsidRPr="0070612B" w:rsidRDefault="0070612B" w:rsidP="0070612B">
      <w:pPr>
        <w:autoSpaceDE w:val="0"/>
        <w:autoSpaceDN w:val="0"/>
        <w:adjustRightInd w:val="0"/>
        <w:jc w:val="both"/>
        <w:rPr>
          <w:rFonts w:eastAsia="Calibri"/>
        </w:rPr>
      </w:pPr>
      <w:r w:rsidRPr="0070612B">
        <w:rPr>
          <w:rFonts w:eastAsia="Calibri"/>
        </w:rPr>
        <w:t>2. По данным Общества с ограниченной ответственностью «Газпром газораспределение Нижний</w:t>
      </w:r>
    </w:p>
    <w:p w:rsidR="0070612B" w:rsidRPr="0070612B" w:rsidRDefault="0070612B" w:rsidP="0070612B">
      <w:pPr>
        <w:autoSpaceDE w:val="0"/>
        <w:autoSpaceDN w:val="0"/>
        <w:adjustRightInd w:val="0"/>
        <w:jc w:val="both"/>
        <w:rPr>
          <w:rFonts w:eastAsia="Calibri"/>
        </w:rPr>
      </w:pPr>
      <w:r w:rsidRPr="0070612B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>
        <w:rPr>
          <w:rFonts w:eastAsia="Calibri"/>
        </w:rPr>
        <w:t xml:space="preserve"> </w:t>
      </w:r>
      <w:r w:rsidRPr="0070612B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>
        <w:rPr>
          <w:rFonts w:eastAsia="Calibri"/>
        </w:rPr>
        <w:t xml:space="preserve"> </w:t>
      </w:r>
      <w:r w:rsidRPr="0070612B">
        <w:rPr>
          <w:rFonts w:eastAsia="Calibri"/>
        </w:rPr>
        <w:t>52:32:0500029:4580 имеется (письмо прилагается).</w:t>
      </w:r>
    </w:p>
    <w:p w:rsidR="00CB49A8" w:rsidRDefault="00CB49A8" w:rsidP="0070612B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 xml:space="preserve">Нижегородская область, </w:t>
      </w:r>
      <w:proofErr w:type="spellStart"/>
      <w:r w:rsidR="00496DBE" w:rsidRPr="00496DBE">
        <w:rPr>
          <w:rFonts w:ascii="Times New Roman" w:hAnsi="Times New Roman"/>
          <w:sz w:val="24"/>
          <w:szCs w:val="24"/>
        </w:rPr>
        <w:t>Дальнеконстантиновский</w:t>
      </w:r>
      <w:proofErr w:type="spellEnd"/>
      <w:r w:rsidR="00496DBE" w:rsidRPr="00496DBE">
        <w:rPr>
          <w:rFonts w:ascii="Times New Roman" w:hAnsi="Times New Roman"/>
          <w:sz w:val="24"/>
          <w:szCs w:val="24"/>
        </w:rPr>
        <w:t xml:space="preserve"> район, р. п. Дальнее Константиново, ул. 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 -5-</w:t>
      </w:r>
      <w:r w:rsidR="00675293">
        <w:rPr>
          <w:rFonts w:ascii="Times New Roman" w:hAnsi="Times New Roman"/>
          <w:sz w:val="24"/>
          <w:szCs w:val="24"/>
        </w:rPr>
        <w:t>1</w:t>
      </w:r>
      <w:r w:rsidR="00BA1445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BA1445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proofErr w:type="spellStart"/>
      <w:r w:rsidR="00BA1445">
        <w:rPr>
          <w:rFonts w:ascii="Times New Roman" w:hAnsi="Times New Roman"/>
          <w:sz w:val="24"/>
          <w:szCs w:val="24"/>
        </w:rPr>
        <w:t>Трушникова</w:t>
      </w:r>
      <w:proofErr w:type="spellEnd"/>
      <w:r w:rsidR="00BA1445">
        <w:rPr>
          <w:rFonts w:ascii="Times New Roman" w:hAnsi="Times New Roman"/>
          <w:sz w:val="24"/>
          <w:szCs w:val="24"/>
        </w:rPr>
        <w:t xml:space="preserve"> Любовь</w:t>
      </w:r>
      <w:r w:rsidR="00675293">
        <w:rPr>
          <w:rFonts w:ascii="Times New Roman" w:hAnsi="Times New Roman"/>
          <w:sz w:val="24"/>
          <w:szCs w:val="24"/>
        </w:rPr>
        <w:t xml:space="preserve"> Викторовна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C77548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730D3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>Акционерное общество "Электронные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 xml:space="preserve">Адрес: 123112, г. Москва, ул. </w:t>
      </w:r>
      <w:proofErr w:type="spellStart"/>
      <w:r w:rsidR="00E8771C" w:rsidRPr="00730D3E">
        <w:rPr>
          <w:spacing w:val="-6"/>
        </w:rPr>
        <w:t>Тестовская</w:t>
      </w:r>
      <w:proofErr w:type="spellEnd"/>
      <w:r w:rsidR="00E8771C" w:rsidRPr="00730D3E">
        <w:rPr>
          <w:spacing w:val="-6"/>
        </w:rPr>
        <w:t>, д.10 тел. 84955140204.</w:t>
      </w:r>
    </w:p>
    <w:p w:rsidR="00CB49A8" w:rsidRDefault="00CB49A8" w:rsidP="00730D3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6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732ACD">
      <w:pPr>
        <w:jc w:val="both"/>
      </w:pPr>
      <w:r w:rsidRPr="00732ACD">
        <w:rPr>
          <w:b/>
          <w:lang w:eastAsia="en-US"/>
        </w:rPr>
        <w:t>Решение о проведен</w:t>
      </w:r>
      <w:proofErr w:type="gramStart"/>
      <w:r w:rsidRPr="00732ACD">
        <w:rPr>
          <w:b/>
          <w:lang w:eastAsia="en-US"/>
        </w:rPr>
        <w:t>ии ау</w:t>
      </w:r>
      <w:proofErr w:type="gramEnd"/>
      <w:r w:rsidRPr="00732ACD">
        <w:rPr>
          <w:b/>
          <w:lang w:eastAsia="en-US"/>
        </w:rPr>
        <w:t>кциона:</w:t>
      </w:r>
      <w:r w:rsidR="00445CF8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муниципального округа Нижегородской области от </w:t>
      </w:r>
      <w:r w:rsidR="00445CF8">
        <w:t>16.03</w:t>
      </w:r>
      <w:r w:rsidR="005B4AF4" w:rsidRPr="00B13EAA">
        <w:t xml:space="preserve">.2026 № </w:t>
      </w:r>
      <w:r w:rsidR="00445CF8">
        <w:t>732</w:t>
      </w:r>
      <w:r w:rsidR="005B4AF4" w:rsidRPr="00B13EAA">
        <w:t xml:space="preserve"> «О проведен</w:t>
      </w:r>
      <w:proofErr w:type="gramStart"/>
      <w:r w:rsidR="005B4AF4" w:rsidRPr="00B13EAA">
        <w:t>ии ау</w:t>
      </w:r>
      <w:proofErr w:type="gramEnd"/>
      <w:r w:rsidR="005B4AF4" w:rsidRPr="00B13EAA">
        <w:t>кциона в электронной форме, открытого по составу участников и форме подачи предложений по цене на право заключения договор</w:t>
      </w:r>
      <w:r w:rsidR="00445CF8">
        <w:t>а</w:t>
      </w:r>
      <w:r w:rsidR="005B4AF4" w:rsidRPr="00B13EAA">
        <w:t xml:space="preserve"> аренды земельн</w:t>
      </w:r>
      <w:r w:rsidR="00445CF8">
        <w:t>ого</w:t>
      </w:r>
      <w:r w:rsidR="005B4AF4" w:rsidRPr="00B13EAA">
        <w:t xml:space="preserve"> участк</w:t>
      </w:r>
      <w:r w:rsidR="00445CF8">
        <w:t>а</w:t>
      </w:r>
      <w:r w:rsidR="005B4AF4" w:rsidRPr="00B13EAA">
        <w:t>»</w:t>
      </w:r>
      <w:r w:rsidRPr="00C87E51">
        <w:t xml:space="preserve">; </w:t>
      </w:r>
    </w:p>
    <w:p w:rsidR="00CB49A8" w:rsidRDefault="00CB49A8" w:rsidP="00730D3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Pr="00730D3E">
        <w:t xml:space="preserve"> Земельного кодекса Российской Федерации.</w:t>
      </w:r>
    </w:p>
    <w:p w:rsidR="00794290" w:rsidRPr="0040738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муниципального округа Нижегородской области.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Pr="0040738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</w:t>
      </w: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lastRenderedPageBreak/>
        <w:t>площадке,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Начало приема заявок на участие в торгах – </w:t>
      </w:r>
      <w:r w:rsidR="00631AE9">
        <w:rPr>
          <w:b/>
        </w:rPr>
        <w:t>18.03</w:t>
      </w:r>
      <w:r w:rsidR="00081E6B">
        <w:rPr>
          <w:b/>
        </w:rPr>
        <w:t>.2026</w:t>
      </w:r>
      <w:r w:rsidRPr="00C35434">
        <w:rPr>
          <w:b/>
        </w:rPr>
        <w:t xml:space="preserve"> в </w:t>
      </w:r>
      <w:r w:rsidR="00631AE9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Окончание приема заявок на участие в торгах – </w:t>
      </w:r>
      <w:r w:rsidR="00631AE9">
        <w:rPr>
          <w:b/>
        </w:rPr>
        <w:t>01.04</w:t>
      </w:r>
      <w:r w:rsidR="00081E6B">
        <w:rPr>
          <w:b/>
        </w:rPr>
        <w:t>.2026</w:t>
      </w:r>
      <w:r w:rsidRPr="00C35434">
        <w:rPr>
          <w:b/>
        </w:rPr>
        <w:t xml:space="preserve"> в </w:t>
      </w:r>
      <w:r w:rsidR="00631AE9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Срок поступления задатка на счет организатора – по </w:t>
      </w:r>
      <w:r w:rsidR="00631AE9">
        <w:rPr>
          <w:b/>
        </w:rPr>
        <w:t>01.04</w:t>
      </w:r>
      <w:r w:rsidR="00081E6B">
        <w:rPr>
          <w:b/>
        </w:rPr>
        <w:t>.2026</w:t>
      </w:r>
      <w:r w:rsidRPr="00C35434">
        <w:rPr>
          <w:b/>
        </w:rPr>
        <w:t xml:space="preserve"> </w:t>
      </w:r>
      <w:r w:rsidR="00631AE9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>Определение участников торгов –</w:t>
      </w:r>
      <w:r w:rsidR="00631AE9">
        <w:rPr>
          <w:b/>
        </w:rPr>
        <w:t xml:space="preserve"> 01.04</w:t>
      </w:r>
      <w:r w:rsidR="00081E6B">
        <w:rPr>
          <w:b/>
        </w:rPr>
        <w:t>.2026</w:t>
      </w:r>
      <w:r w:rsidRPr="00C35434">
        <w:rPr>
          <w:b/>
        </w:rPr>
        <w:t xml:space="preserve"> в </w:t>
      </w:r>
      <w:r w:rsidR="00631AE9">
        <w:rPr>
          <w:b/>
        </w:rPr>
        <w:t>09</w:t>
      </w:r>
      <w:r w:rsidRPr="00C35434">
        <w:rPr>
          <w:b/>
        </w:rPr>
        <w:t>:00.</w:t>
      </w:r>
    </w:p>
    <w:p w:rsidR="00794290" w:rsidRPr="00C35434" w:rsidRDefault="00794290" w:rsidP="00794290">
      <w:pPr>
        <w:jc w:val="both"/>
        <w:rPr>
          <w:b/>
        </w:rPr>
      </w:pPr>
      <w:r w:rsidRPr="00C35434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631AE9">
        <w:rPr>
          <w:b/>
        </w:rPr>
        <w:t>03.04</w:t>
      </w:r>
      <w:r w:rsidR="00081E6B">
        <w:rPr>
          <w:b/>
        </w:rPr>
        <w:t>.2026</w:t>
      </w:r>
      <w:r w:rsidRPr="00C35434">
        <w:rPr>
          <w:b/>
        </w:rPr>
        <w:t xml:space="preserve"> в </w:t>
      </w:r>
      <w:r w:rsidR="00631AE9">
        <w:rPr>
          <w:b/>
        </w:rPr>
        <w:t>09</w:t>
      </w:r>
      <w:r w:rsidRPr="00C35434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>
        <w:rPr>
          <w:rFonts w:eastAsia="Calibri"/>
        </w:rPr>
        <w:t>аренды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>
        <w:rPr>
          <w:color w:val="030000"/>
          <w:lang w:eastAsia="ar-SA"/>
        </w:rPr>
        <w:t>аренды</w:t>
      </w:r>
      <w:r w:rsidRPr="00142060">
        <w:rPr>
          <w:color w:val="030000"/>
          <w:lang w:eastAsia="ar-SA"/>
        </w:rPr>
        <w:t>земельного участка задаток ему 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794290" w:rsidRDefault="00794290" w:rsidP="00794290">
      <w:pPr>
        <w:ind w:firstLine="709"/>
        <w:jc w:val="both"/>
        <w:rPr>
          <w:rFonts w:eastAsia="Calibri"/>
          <w:color w:val="FF0000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площадки: не позднее </w:t>
      </w:r>
      <w:r w:rsidR="00CC50EE">
        <w:rPr>
          <w:rFonts w:eastAsia="Calibri"/>
          <w:b/>
          <w:bCs/>
        </w:rPr>
        <w:t>01</w:t>
      </w:r>
      <w:r w:rsidR="00130FC5">
        <w:rPr>
          <w:rFonts w:eastAsia="Calibri"/>
          <w:b/>
          <w:bCs/>
        </w:rPr>
        <w:t>.0</w:t>
      </w:r>
      <w:r w:rsidR="00CC50EE">
        <w:rPr>
          <w:rFonts w:eastAsia="Calibri"/>
          <w:b/>
          <w:bCs/>
        </w:rPr>
        <w:t>4</w:t>
      </w:r>
      <w:r w:rsidR="005B4AF4">
        <w:rPr>
          <w:rFonts w:eastAsia="Calibri"/>
          <w:b/>
          <w:bCs/>
        </w:rPr>
        <w:t>.2026</w:t>
      </w:r>
      <w:r w:rsidRPr="00C35434">
        <w:rPr>
          <w:b/>
        </w:rPr>
        <w:t xml:space="preserve"> года </w:t>
      </w:r>
      <w:r w:rsidR="00CC50EE">
        <w:rPr>
          <w:b/>
        </w:rPr>
        <w:t>09</w:t>
      </w:r>
      <w:r w:rsidRPr="00C35434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lastRenderedPageBreak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bCs/>
          <w:lang w:eastAsia="ar-SA"/>
        </w:rPr>
        <w:t>аренды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bCs/>
        </w:rPr>
        <w:t xml:space="preserve">Заявка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794290">
      <w:pPr>
        <w:ind w:firstLine="540"/>
        <w:jc w:val="both"/>
      </w:pPr>
      <w:r w:rsidRPr="00142060">
        <w:t>1) копии</w:t>
      </w:r>
      <w:r>
        <w:t xml:space="preserve"> всех листов</w:t>
      </w:r>
      <w:r w:rsidRPr="00142060">
        <w:t xml:space="preserve"> документов, удостоверяющих личность заявителя (для </w:t>
      </w:r>
      <w:r>
        <w:t>физических лиц</w:t>
      </w:r>
      <w:r w:rsidRPr="00142060">
        <w:t xml:space="preserve">); </w:t>
      </w:r>
    </w:p>
    <w:p w:rsidR="00794290" w:rsidRPr="00142060" w:rsidRDefault="00794290" w:rsidP="00794290">
      <w:pPr>
        <w:ind w:firstLine="540"/>
        <w:jc w:val="both"/>
      </w:pPr>
      <w:r>
        <w:t xml:space="preserve">2) </w:t>
      </w:r>
      <w:r w:rsidRPr="00142060"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794290" w:rsidRPr="00142060" w:rsidRDefault="00794290" w:rsidP="00794290">
      <w:pPr>
        <w:ind w:firstLine="540"/>
        <w:jc w:val="both"/>
      </w:pPr>
      <w:r w:rsidRPr="00142060">
        <w:t xml:space="preserve">3) документы,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lastRenderedPageBreak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Pr="00142060">
          <w:rPr>
            <w:color w:val="0000FF"/>
            <w:u w:val="single"/>
          </w:rPr>
          <w:t>порядке</w:t>
        </w:r>
      </w:hyperlink>
      <w:r w:rsidRPr="00142060"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При приеме заявок от претендентовоператор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</w:t>
      </w:r>
      <w:r>
        <w:lastRenderedPageBreak/>
        <w:t xml:space="preserve">информационно-телекоммуникационной сети «Интернет»: </w:t>
      </w:r>
      <w:hyperlink r:id="rId8" w:history="1">
        <w:r w:rsidRPr="009B05E8">
          <w:rPr>
            <w:rStyle w:val="a7"/>
          </w:rPr>
          <w:t>https://www.fabrikant.ru.</w:t>
        </w:r>
      </w:hyperlink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*Составляет 1% от начальной цены, установленной в процедуре, но не более чем 5 000 (пять тысяч) рублей. НДС начисляется дополнительно по ставке, установленной пунктом 3 статьи 164 НК РФ на дату взимания платы.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20%.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сдействующим законодательством не имеет права быть участником аукциона,покупателем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членахколлегиальных исполнительных органов заявителя, лицах, исполняющих функцииединоличного исполнительного органа заявителя, являющегося юридическимлицом,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Порезультатамрассмотрения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ваукционе на электронной площадке не позднее, чем на следующий рабочий деньпосле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lastRenderedPageBreak/>
        <w:t>Заявителям, признанным Участниками, и Заявителям, не допущенным кучастию в аукционе, Оператор электронной площадки направляет в электроннойформе в Личные кабинеты Заявителей уведомления о принятых в их отношениирешениях, не позднее следующего рабочего дня после дня подписания протоколарассмотрения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всоответствии с Регламентом и Инструкциями считается участвующим в аукционес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несостоявшимся в случаях, если: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>Условия и сроки заключения договора аренды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9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аренды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При этом арендная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0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аренды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>Победитель аукциона или иное лицо, с которым заключается договор аренды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аренды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аренды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аренды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В случае</w:t>
      </w:r>
      <w:proofErr w:type="gramStart"/>
      <w:r w:rsidRPr="00513755">
        <w:rPr>
          <w:rFonts w:eastAsia="Calibri"/>
          <w:color w:val="000000"/>
        </w:rPr>
        <w:t>,</w:t>
      </w:r>
      <w:proofErr w:type="gramEnd"/>
      <w:r w:rsidRPr="00513755">
        <w:rPr>
          <w:rFonts w:eastAsia="Calibri"/>
          <w:color w:val="000000"/>
        </w:rPr>
        <w:t xml:space="preserve"> если победитель аукциона или иное лицо, с которым заключается договор </w:t>
      </w:r>
      <w:r>
        <w:rPr>
          <w:rFonts w:eastAsia="Calibri"/>
          <w:color w:val="000000"/>
        </w:rPr>
        <w:t>аренды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>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F617FB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425"/>
    <w:rsid w:val="0001297F"/>
    <w:rsid w:val="000406F8"/>
    <w:rsid w:val="00077FEC"/>
    <w:rsid w:val="00081E6B"/>
    <w:rsid w:val="000A161C"/>
    <w:rsid w:val="000A3075"/>
    <w:rsid w:val="000E48D5"/>
    <w:rsid w:val="000E5C15"/>
    <w:rsid w:val="000F6611"/>
    <w:rsid w:val="000F6D33"/>
    <w:rsid w:val="00102CCE"/>
    <w:rsid w:val="00127F5C"/>
    <w:rsid w:val="00130FC5"/>
    <w:rsid w:val="00143430"/>
    <w:rsid w:val="001515B0"/>
    <w:rsid w:val="00152BB2"/>
    <w:rsid w:val="001623EC"/>
    <w:rsid w:val="0017694C"/>
    <w:rsid w:val="001822C5"/>
    <w:rsid w:val="001915AB"/>
    <w:rsid w:val="001A2B83"/>
    <w:rsid w:val="001A434B"/>
    <w:rsid w:val="001B1BFD"/>
    <w:rsid w:val="001C6763"/>
    <w:rsid w:val="001C7EF9"/>
    <w:rsid w:val="001D543D"/>
    <w:rsid w:val="001F231D"/>
    <w:rsid w:val="001F66A5"/>
    <w:rsid w:val="00204488"/>
    <w:rsid w:val="00206519"/>
    <w:rsid w:val="00216B2B"/>
    <w:rsid w:val="00224909"/>
    <w:rsid w:val="00224AA4"/>
    <w:rsid w:val="00230FC9"/>
    <w:rsid w:val="002319F1"/>
    <w:rsid w:val="0023221E"/>
    <w:rsid w:val="002325BB"/>
    <w:rsid w:val="00241E55"/>
    <w:rsid w:val="00244715"/>
    <w:rsid w:val="002803E7"/>
    <w:rsid w:val="002823AF"/>
    <w:rsid w:val="002B19B1"/>
    <w:rsid w:val="002B5CE7"/>
    <w:rsid w:val="002B6685"/>
    <w:rsid w:val="002C5182"/>
    <w:rsid w:val="002D0DBA"/>
    <w:rsid w:val="002E2E0E"/>
    <w:rsid w:val="00333334"/>
    <w:rsid w:val="00336275"/>
    <w:rsid w:val="00337209"/>
    <w:rsid w:val="003500AD"/>
    <w:rsid w:val="00360B8B"/>
    <w:rsid w:val="003633F6"/>
    <w:rsid w:val="0037626B"/>
    <w:rsid w:val="003827EF"/>
    <w:rsid w:val="00390AC6"/>
    <w:rsid w:val="00394DC0"/>
    <w:rsid w:val="00396691"/>
    <w:rsid w:val="003D4062"/>
    <w:rsid w:val="003E022A"/>
    <w:rsid w:val="003E199D"/>
    <w:rsid w:val="00402881"/>
    <w:rsid w:val="00403BBB"/>
    <w:rsid w:val="00425A81"/>
    <w:rsid w:val="00425C62"/>
    <w:rsid w:val="00430DF6"/>
    <w:rsid w:val="0044316F"/>
    <w:rsid w:val="00445CF8"/>
    <w:rsid w:val="00453298"/>
    <w:rsid w:val="00471489"/>
    <w:rsid w:val="00471D7F"/>
    <w:rsid w:val="00472704"/>
    <w:rsid w:val="0047476F"/>
    <w:rsid w:val="004825DB"/>
    <w:rsid w:val="00491582"/>
    <w:rsid w:val="00496DBE"/>
    <w:rsid w:val="00497E74"/>
    <w:rsid w:val="004A7573"/>
    <w:rsid w:val="004C1425"/>
    <w:rsid w:val="004C576D"/>
    <w:rsid w:val="004E55B0"/>
    <w:rsid w:val="00503CAA"/>
    <w:rsid w:val="005042D4"/>
    <w:rsid w:val="0050544F"/>
    <w:rsid w:val="00513755"/>
    <w:rsid w:val="00515E09"/>
    <w:rsid w:val="00520F09"/>
    <w:rsid w:val="005269D8"/>
    <w:rsid w:val="005444DF"/>
    <w:rsid w:val="00554D73"/>
    <w:rsid w:val="00554DE3"/>
    <w:rsid w:val="0057253F"/>
    <w:rsid w:val="005726A6"/>
    <w:rsid w:val="005813C5"/>
    <w:rsid w:val="005A06EC"/>
    <w:rsid w:val="005A2869"/>
    <w:rsid w:val="005B4AF4"/>
    <w:rsid w:val="005B6125"/>
    <w:rsid w:val="005D02CA"/>
    <w:rsid w:val="005D6A4E"/>
    <w:rsid w:val="005E03FB"/>
    <w:rsid w:val="005F50ED"/>
    <w:rsid w:val="005F5E65"/>
    <w:rsid w:val="0060516C"/>
    <w:rsid w:val="00610EB6"/>
    <w:rsid w:val="00631AE9"/>
    <w:rsid w:val="006427FF"/>
    <w:rsid w:val="006441F3"/>
    <w:rsid w:val="00661938"/>
    <w:rsid w:val="00665BA2"/>
    <w:rsid w:val="006677F6"/>
    <w:rsid w:val="00675293"/>
    <w:rsid w:val="0069599B"/>
    <w:rsid w:val="006A1798"/>
    <w:rsid w:val="006A201F"/>
    <w:rsid w:val="006A24F6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4A60"/>
    <w:rsid w:val="00763E8A"/>
    <w:rsid w:val="00764A11"/>
    <w:rsid w:val="00765816"/>
    <w:rsid w:val="00767249"/>
    <w:rsid w:val="00767579"/>
    <w:rsid w:val="00770046"/>
    <w:rsid w:val="00787BAA"/>
    <w:rsid w:val="0079338A"/>
    <w:rsid w:val="00794290"/>
    <w:rsid w:val="007A1BC9"/>
    <w:rsid w:val="007A1C71"/>
    <w:rsid w:val="007A3784"/>
    <w:rsid w:val="007D5C94"/>
    <w:rsid w:val="0080121B"/>
    <w:rsid w:val="00801939"/>
    <w:rsid w:val="00801BC5"/>
    <w:rsid w:val="0080574E"/>
    <w:rsid w:val="0081277B"/>
    <w:rsid w:val="0084054F"/>
    <w:rsid w:val="00861F7F"/>
    <w:rsid w:val="00895A92"/>
    <w:rsid w:val="008A1098"/>
    <w:rsid w:val="008A6FE9"/>
    <w:rsid w:val="008B2CBE"/>
    <w:rsid w:val="008B3704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27954"/>
    <w:rsid w:val="00927FC7"/>
    <w:rsid w:val="009575C4"/>
    <w:rsid w:val="0096220A"/>
    <w:rsid w:val="00980B82"/>
    <w:rsid w:val="00983ED2"/>
    <w:rsid w:val="0098439D"/>
    <w:rsid w:val="00985622"/>
    <w:rsid w:val="00991274"/>
    <w:rsid w:val="00995D38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7ACE"/>
    <w:rsid w:val="00A300FE"/>
    <w:rsid w:val="00A33023"/>
    <w:rsid w:val="00A467F8"/>
    <w:rsid w:val="00A7133B"/>
    <w:rsid w:val="00A92C70"/>
    <w:rsid w:val="00A9681D"/>
    <w:rsid w:val="00AA3383"/>
    <w:rsid w:val="00AB42A1"/>
    <w:rsid w:val="00AC0A94"/>
    <w:rsid w:val="00AC2AAB"/>
    <w:rsid w:val="00AC48A0"/>
    <w:rsid w:val="00AD2E49"/>
    <w:rsid w:val="00AE31CA"/>
    <w:rsid w:val="00AF52E9"/>
    <w:rsid w:val="00B067BC"/>
    <w:rsid w:val="00B13EAA"/>
    <w:rsid w:val="00B24B13"/>
    <w:rsid w:val="00B253DA"/>
    <w:rsid w:val="00B278DE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666C"/>
    <w:rsid w:val="00BA12A5"/>
    <w:rsid w:val="00BA1445"/>
    <w:rsid w:val="00BA4E0D"/>
    <w:rsid w:val="00BA5452"/>
    <w:rsid w:val="00BC1061"/>
    <w:rsid w:val="00BC148E"/>
    <w:rsid w:val="00BC2386"/>
    <w:rsid w:val="00BC3D49"/>
    <w:rsid w:val="00BD08E1"/>
    <w:rsid w:val="00BF0E25"/>
    <w:rsid w:val="00C024A5"/>
    <w:rsid w:val="00C055DA"/>
    <w:rsid w:val="00C10731"/>
    <w:rsid w:val="00C22AEA"/>
    <w:rsid w:val="00C24A0C"/>
    <w:rsid w:val="00C25D27"/>
    <w:rsid w:val="00C30179"/>
    <w:rsid w:val="00C35434"/>
    <w:rsid w:val="00C42B0A"/>
    <w:rsid w:val="00C77548"/>
    <w:rsid w:val="00C84BBB"/>
    <w:rsid w:val="00C87E51"/>
    <w:rsid w:val="00C904C9"/>
    <w:rsid w:val="00CB130C"/>
    <w:rsid w:val="00CB49A8"/>
    <w:rsid w:val="00CC0562"/>
    <w:rsid w:val="00CC50EE"/>
    <w:rsid w:val="00CD72FD"/>
    <w:rsid w:val="00CE636E"/>
    <w:rsid w:val="00D04937"/>
    <w:rsid w:val="00D058A6"/>
    <w:rsid w:val="00D14F4C"/>
    <w:rsid w:val="00D17BC7"/>
    <w:rsid w:val="00D211D2"/>
    <w:rsid w:val="00D260A1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369C"/>
    <w:rsid w:val="00D9570D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534B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4295D"/>
    <w:rsid w:val="00E66E63"/>
    <w:rsid w:val="00E71765"/>
    <w:rsid w:val="00E84FB9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F20C8"/>
    <w:rsid w:val="00F035B5"/>
    <w:rsid w:val="00F23E06"/>
    <w:rsid w:val="00F27145"/>
    <w:rsid w:val="00F354FA"/>
    <w:rsid w:val="00F6094C"/>
    <w:rsid w:val="00F617FB"/>
    <w:rsid w:val="00F70776"/>
    <w:rsid w:val="00F84DBE"/>
    <w:rsid w:val="00F967BF"/>
    <w:rsid w:val="00FA1DB4"/>
    <w:rsid w:val="00FA2980"/>
    <w:rsid w:val="00FA7E28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." TargetMode="External"/><Relationship Id="rId13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18AF8E902C8A8369C11EDDC3A943C2AAEAED217A7EF984E6EEF39448E5D826804E731581A443F6h3BBF" TargetMode="External"/><Relationship Id="rId12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11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9</Pages>
  <Words>4701</Words>
  <Characters>26798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31437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2026-03-12T06:09:00Z</cp:lastPrinted>
  <dcterms:created xsi:type="dcterms:W3CDTF">2025-01-30T06:14:00Z</dcterms:created>
  <dcterms:modified xsi:type="dcterms:W3CDTF">2026-03-17T13:07:00Z</dcterms:modified>
</cp:coreProperties>
</file>